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CED" w:rsidRPr="00D20CED" w:rsidRDefault="00D20CED" w:rsidP="00D20CED">
      <w:pPr>
        <w:widowControl w:val="0"/>
        <w:spacing w:before="100" w:beforeAutospacing="1" w:after="100" w:afterAutospacing="1" w:line="360" w:lineRule="auto"/>
        <w:jc w:val="both"/>
        <w:rPr>
          <w:rFonts w:ascii="Arial" w:eastAsia="Times New Roman" w:hAnsi="Arial" w:cs="Arial"/>
          <w:b/>
          <w:sz w:val="24"/>
          <w:szCs w:val="24"/>
          <w:lang w:eastAsia="es-MX"/>
        </w:rPr>
      </w:pPr>
      <w:bookmarkStart w:id="0" w:name="_GoBack"/>
      <w:bookmarkEnd w:id="0"/>
      <w:r w:rsidRPr="00D20CED">
        <w:rPr>
          <w:rFonts w:ascii="Arial" w:eastAsia="Times New Roman" w:hAnsi="Arial" w:cs="Arial"/>
          <w:b/>
          <w:sz w:val="24"/>
          <w:szCs w:val="24"/>
          <w:lang w:eastAsia="es-MX"/>
        </w:rPr>
        <w:t>VOTO PARTICULAR DE LOS MAGISTRADOS INDALFER INFANTE GONZALES Y REYES RODRÍGUEZ MONDRAGÓN EN EL RECURSO DE RECONSIDERACIÓN SUP-REC-378/2019</w:t>
      </w:r>
      <w:r w:rsidRPr="00D20CED">
        <w:rPr>
          <w:rFonts w:ascii="Arial" w:eastAsia="Times New Roman" w:hAnsi="Arial" w:cs="Arial"/>
          <w:b/>
          <w:sz w:val="24"/>
          <w:szCs w:val="24"/>
          <w:vertAlign w:val="superscript"/>
          <w:lang w:eastAsia="es-MX"/>
        </w:rPr>
        <w:footnoteReference w:id="1"/>
      </w:r>
      <w:r w:rsidRPr="00D20CED">
        <w:rPr>
          <w:rFonts w:ascii="Arial" w:eastAsia="Times New Roman" w:hAnsi="Arial" w:cs="Arial"/>
          <w:b/>
          <w:sz w:val="24"/>
          <w:szCs w:val="24"/>
          <w:lang w:eastAsia="es-MX"/>
        </w:rPr>
        <w:t xml:space="preserve"> </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Formulamos este voto particular en el que, respetuosamente, expresamos las razones por las que disentimos de la mayoría en el recurso de reconsideración SUP-REC-378/2019. </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Consideramos que, aunque este caso no se trata un asunto en el que esté implicada una cuestión de constitucionalidad directamente, sí se surten los requisitos de la Jurisprudencia 5/2019 de esta Sala Superior de rubro </w:t>
      </w:r>
      <w:r w:rsidRPr="00D20CED">
        <w:rPr>
          <w:rFonts w:ascii="Arial" w:eastAsia="Times New Roman" w:hAnsi="Arial" w:cs="Arial"/>
          <w:b/>
          <w:smallCaps/>
          <w:sz w:val="20"/>
          <w:szCs w:val="24"/>
          <w:lang w:eastAsia="es-MX"/>
        </w:rPr>
        <w:t>RECURSO DE RECONSIDERACIÓN. ES PROCEDENTE PARA ANALIZAR ASUNTOS RELEVANTES Y TRASCENDENTES.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En este caso concreto es claro el tópico de relevancia constitucional que implica el análisis de este asunto: los plebiscitos como mecanismo de participación de democracia directa en las entidades federativas.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A continuación, ofrecemos los argumentos que me nos llevan a sostener que se actualiza un supuesto de procedencia del recurso de reconsideración por su importancia y trascendencia.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Cuando aprobamos el criterio de la tesis señalada, sostuvimos que el centro de  la argumentación era el diseño institucional del propio Tribunal Electoral del Poder Judicial de la Federación, el cual atendía a los siguientes ejes: a)Cambio en la metodología de la argumentación de casos; b) Uso estratégico en el conocimiento de asuntos para constituirse en un tribunal que controla la constitucionalidad de la aplicación de la ley, y ) un ejercicio de liderazgo en el proceso de generación y revisión de criterios seguidos por sus órganos.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En este sentido, la Sala Superior busca atender un interés especial a situaciones </w:t>
      </w:r>
      <w:r w:rsidRPr="00D20CED">
        <w:rPr>
          <w:rFonts w:ascii="Arial" w:eastAsia="Times New Roman" w:hAnsi="Arial" w:cs="Arial"/>
          <w:sz w:val="24"/>
          <w:szCs w:val="24"/>
          <w:lang w:eastAsia="es-MX"/>
        </w:rPr>
        <w:lastRenderedPageBreak/>
        <w:t>focalizadas de desigualdad que afectan mayormente a ciertos grupos minoritarios, teniendo una concentración de recursos y esfuerzos en la resolución de casos que les permita generar jurisprudencia en tópicos constitucionales.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Asimismo, se concluyó que la Sala Superior podía centrar sus esfuerzos en el conocimiento y la resolución de aquellos asuntos inéditos o que comprendan un alto nivel de importancia y trascendencia constitucional y que, por tal razón, impactan en la interpretación y aplicación del orden jurídico.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De esa manera decidimos que la actualización de estos requisitos debe realizarse caso por caso, buscando contestar la pregunta si de declararse la procedencia del recurso, ello permitiría a este órgano constitucional, emitir un pronunciamiento sobre una cuestión novedosa y de relevancia constitucional para el orden jurídico</w:t>
      </w:r>
      <w:hyperlink r:id="rId6" w:anchor="_ftn26" w:history="1">
        <w:r w:rsidRPr="00D20CED">
          <w:rPr>
            <w:rFonts w:ascii="Arial" w:eastAsia="Calibri" w:hAnsi="Arial" w:cs="Arial"/>
            <w:color w:val="0563C1"/>
            <w:sz w:val="24"/>
            <w:szCs w:val="24"/>
            <w:u w:val="single"/>
            <w:vertAlign w:val="superscript"/>
          </w:rPr>
          <w:t>[26]</w:t>
        </w:r>
      </w:hyperlink>
      <w:r w:rsidRPr="00D20CED">
        <w:rPr>
          <w:rFonts w:ascii="Arial" w:eastAsia="Times New Roman" w:hAnsi="Arial" w:cs="Arial"/>
          <w:sz w:val="24"/>
          <w:szCs w:val="24"/>
          <w:lang w:eastAsia="es-MX"/>
        </w:rPr>
        <w:t>.</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En ese orden de ideas, para mí, la procedencia del recurso de reconsideración por este nuevo supuesto que construimos en la jurisprudencia citada debe </w:t>
      </w:r>
      <w:r w:rsidRPr="00D20CED">
        <w:rPr>
          <w:rFonts w:ascii="Arial" w:eastAsia="Times New Roman" w:hAnsi="Arial" w:cs="Arial"/>
          <w:b/>
          <w:sz w:val="24"/>
          <w:szCs w:val="24"/>
          <w:lang w:eastAsia="es-MX"/>
        </w:rPr>
        <w:t>estar direccionado en la creación o perfeccionamiento de un sistema de precedentes en el que claramente se pueda identificar las líneas y doctrinas jurisprudenciales</w:t>
      </w:r>
      <w:r w:rsidRPr="00D20CED">
        <w:rPr>
          <w:rFonts w:ascii="Arial" w:eastAsia="Times New Roman" w:hAnsi="Arial" w:cs="Arial"/>
          <w:sz w:val="24"/>
          <w:szCs w:val="24"/>
          <w:lang w:eastAsia="es-MX"/>
        </w:rPr>
        <w:t>, anunciar sus cambios, modificarlos incluso y solidificar criterios, relacionados con temas relevantes y trascendentes desde el punto de vista constitucional.</w:t>
      </w:r>
    </w:p>
    <w:p w:rsidR="00D20CED" w:rsidRPr="00D20CED" w:rsidRDefault="00D20CED" w:rsidP="00D20CED">
      <w:pPr>
        <w:widowControl w:val="0"/>
        <w:spacing w:before="320" w:after="320" w:line="360" w:lineRule="auto"/>
        <w:jc w:val="both"/>
        <w:rPr>
          <w:rFonts w:ascii="Arial" w:eastAsia="Times New Roman" w:hAnsi="Arial" w:cs="Arial"/>
          <w:b/>
          <w:sz w:val="24"/>
          <w:szCs w:val="24"/>
          <w:lang w:eastAsia="es-MX"/>
        </w:rPr>
      </w:pPr>
      <w:r w:rsidRPr="00D20CED">
        <w:rPr>
          <w:rFonts w:ascii="Arial" w:eastAsia="Times New Roman" w:hAnsi="Arial" w:cs="Arial"/>
          <w:b/>
          <w:sz w:val="24"/>
          <w:szCs w:val="24"/>
          <w:lang w:eastAsia="es-MX"/>
        </w:rPr>
        <w:t>1.</w:t>
      </w:r>
      <w:r w:rsidRPr="00D20CED">
        <w:rPr>
          <w:rFonts w:ascii="Arial" w:eastAsia="Times New Roman" w:hAnsi="Arial" w:cs="Arial"/>
          <w:b/>
          <w:sz w:val="24"/>
          <w:szCs w:val="24"/>
          <w:lang w:eastAsia="es-MX"/>
        </w:rPr>
        <w:tab/>
        <w:t>Plebiscito como mecanismo de participación ciudadana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La sentencia que podemos revisar en este asunto determinó que un plebiscito no puede proceder cuando sobre el asunto exista un acto administrativo y porque afecta propiedad privada. El supuesto fáctico también es novedoso pues el juicio se inicia por una solicitud de plebiscito por ciudadanos del Estado de Baja California respecto de si fue correcta la resolución de Autorización de Impacto de la Secretaría de Protección al Ambiente del Estado, Dirección de Impacto Ambiental, Departamento Análisis Ambiental Mexicali, para realizar las obras y actividades relativas a la construcción y operación de una planta cervecera que implicaba la </w:t>
      </w:r>
      <w:r w:rsidRPr="00D20CED">
        <w:rPr>
          <w:rFonts w:ascii="Arial" w:eastAsia="Times New Roman" w:hAnsi="Arial" w:cs="Arial"/>
          <w:sz w:val="24"/>
          <w:szCs w:val="24"/>
          <w:lang w:eastAsia="es-MX"/>
        </w:rPr>
        <w:lastRenderedPageBreak/>
        <w:t>autorización para explotar recursos hidráulicos en Mexicali.</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En este asunto se puede sostener que se reúnen las características de relevancia y trascendencia, pues existe la posibilidad de fijar un criterio que abra una línea jurisprudencial nueva y con implicaciones en el ordenamiento electoral en relación con un mecanismo de participación directa de la ciudadanía en las entidades federativas: el plebiscito.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Este proceso jurisdiccional deriva de la calificación de uno de los requisitos materiales para la procedencia de un plebiscito en Baja California, en concreto, el requisito relativo a que la materia sea trascendente para la vida pública del estado. </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Así, el análisis de fondo del presente recurso puede generar un pronunciamiento sobre en qué supuestos y a partir de qué parámetros los Organismos Públicos Electorales Locales (OPLES) pueden negar o autorizar un plebiscito. Es decir, permitiría definir los límites de la participación de los OPLES respecto al análisis de fondo de los temas que son materia de mecanismos de participación ciudadana. De la misma forma, puede irse delineando la opinión de la Sala Superior en relación con los alcances, definición, desarrollo sobre la participación ciudadana y mecanismos de democracia directa en las entidades federativas, si conserva el carácter de derecho fundamental y esclarecer la manera en que se garantiza.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La relevancia en este caso se actualiza porque el estudio de fondo permitiría un pronunciamiento sobre los ámbitos materiales de permisión, constitucional y legal, de la participación política directa a través del voto en plebiscitos. </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El caso cobra aún más relevancia porque la materia sobre la que se pronunció la Sala Regional no necesariamente corresponde a una competencia ordinaria de la jurisdicción electoral. Es decir, definir sobre la procedencia del plebiscito implica hacer un pronunciamiento sobre a qué tipo de materia corresponde cierto acto jurídico, es decir a la administrativa, de impuestos, o de derechos humanos, como, </w:t>
      </w:r>
      <w:r w:rsidRPr="00D20CED">
        <w:rPr>
          <w:rFonts w:ascii="Arial" w:eastAsia="Times New Roman" w:hAnsi="Arial" w:cs="Arial"/>
          <w:sz w:val="24"/>
          <w:szCs w:val="24"/>
          <w:lang w:eastAsia="es-MX"/>
        </w:rPr>
        <w:lastRenderedPageBreak/>
        <w:t>por ejemplo, el derecho al agua o el derecho de propiedad; acción que es de suma trascendencia para un estado.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Tal como sucedió en este asunto, la calificación de un acto jurídico implica determinar y hacer procedentes mecanismos de participación ciudadana en cuestiones o temas que no necesariamente han sido ubicados en la jurisdicción electoral.</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Por otra parte, consideramos que se trata de un asunto trascendente porque implica desarrollar un criterio jurídico novedoso, pues este tribunal no se ha pronunciado sobre el tema, es decir, no existe ni jurisprudencia firme sobre los mecanismos de participación ciudadana ni requisitos de validez o, en otras palabras, de las formas de reparar las violaciones a las reglas respectivas.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Concretamente, en el fondo, la pregunta que podría estar en cuestión y que justifica la procedencia por relevancia es si, de acuerdo con la normativa local, un plebiscito no procede cuando se relaciona con asuntos que: 1) sean actos administrativos firmes, 2) tengan impacto en la propiedad privada, o 3) bien, como sucede en el caso, que se alegue un </w:t>
      </w:r>
      <w:r w:rsidRPr="00D20CED">
        <w:rPr>
          <w:rFonts w:ascii="Arial" w:eastAsia="Times New Roman" w:hAnsi="Arial" w:cs="Arial"/>
          <w:b/>
          <w:sz w:val="24"/>
          <w:szCs w:val="24"/>
          <w:lang w:eastAsia="es-MX"/>
        </w:rPr>
        <w:t>derecho humano al agua</w:t>
      </w:r>
      <w:r w:rsidRPr="00D20CED">
        <w:rPr>
          <w:rFonts w:ascii="Arial" w:eastAsia="Times New Roman" w:hAnsi="Arial" w:cs="Arial"/>
          <w:sz w:val="24"/>
          <w:szCs w:val="24"/>
          <w:lang w:eastAsia="es-MX"/>
        </w:rPr>
        <w:t>.</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De igual manera, en su demanda, el recurrente alega que la autoridad electoral se tardó en dar trámite y resolver su petición, lo cual en principio es cierto, pues la petición se realizó en octubre y la respuesta se dio en marzo. La posible réplica de esta Sala Superior al agravio que se alega en cuanto a esa dilación también sería un tema que permitiría hacer un pronunciamiento relevante y novedoso en relación con las obligaciones de los institutos locales de tramitar oportuna y exhaustivamente las solicitudes de plebiscito.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De ahí que, resulta importante establecer una base objetiva sobre la cual, las autoridades electorales locales puedan partir para determinar en qué casos resulta procedente realizar una consulta.</w:t>
      </w:r>
    </w:p>
    <w:p w:rsidR="00D20CED" w:rsidRPr="00D20CED" w:rsidRDefault="00D20CED" w:rsidP="00D20CED">
      <w:pPr>
        <w:widowControl w:val="0"/>
        <w:spacing w:before="320" w:after="320" w:line="360" w:lineRule="auto"/>
        <w:jc w:val="both"/>
        <w:rPr>
          <w:rFonts w:ascii="Arial" w:eastAsia="Times New Roman" w:hAnsi="Arial" w:cs="Arial"/>
          <w:b/>
          <w:sz w:val="24"/>
          <w:szCs w:val="24"/>
          <w:lang w:eastAsia="es-MX"/>
        </w:rPr>
      </w:pPr>
      <w:r w:rsidRPr="00D20CED">
        <w:rPr>
          <w:rFonts w:ascii="Arial" w:eastAsia="Times New Roman" w:hAnsi="Arial" w:cs="Arial"/>
          <w:b/>
          <w:sz w:val="24"/>
          <w:szCs w:val="24"/>
          <w:lang w:eastAsia="es-MX"/>
        </w:rPr>
        <w:t>2.</w:t>
      </w:r>
      <w:r w:rsidRPr="00D20CED">
        <w:rPr>
          <w:rFonts w:ascii="Arial" w:eastAsia="Times New Roman" w:hAnsi="Arial" w:cs="Arial"/>
          <w:b/>
          <w:sz w:val="24"/>
          <w:szCs w:val="24"/>
          <w:lang w:eastAsia="es-MX"/>
        </w:rPr>
        <w:tab/>
        <w:t>Interés jurídico de la empresa tercera interesada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lastRenderedPageBreak/>
        <w:t>En ciertos casos es necesario superar la barrera formal de los requisitos de procedencia, en aras de garantizar un verdadero acceso a la justicia, y permitir que la Sala Superior, como máximo tribunal en materia electoral, se pronuncie sobre ciertas figuras jurídicas que, de otra manera, no sería posible, por no existir un tema de control constitucional.</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En el caso, los actores impugnan una sentencia de la Sala Guadalajara, en la que, con independencia de las consideraciones de fondo, se estimó que una empresa de carácter mercantil tenía interés jurídico para impugnar un acto de autoridad vinculado con la organización de un plebiscito.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Ante esta instancia, se plantea como agravio que la empresa no tenía interés jurídico para impugnar la sentencia del Tribunal Electoral local, ya que esto solo lo pueden hacer quienes formulan la solicitud de plebiscito.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En diversos precedentes, esta Sala Superior ha considerado que el análisis de los requisitos de procedencia es una cuestión de estricta legalidad; sin embargo, aun reconociendo que el tema de la actualización del interés jurídico de la empresa para promover medios de impugnación en un procedimiento de consulta no es un tema de constitucionalidad, no menos cierto es que este es un tema novedoso, de importancia y transcendencia.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Es novedoso, porque hasta el momento no se tienen casos en los que se haya planteado una cuestión similar, esto parte del hecho de que los mecanismos de participación democrática directa son de un uso relativamente reciente en nuestro sistema jurídico.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Si bien en varias entidades se ha regulado la figura de las consultas (plebiscito o referéndum) lo cierto es que se ha explotado poco esa figura de participación de la ciudadanía en la toma de decisiones.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Además de esto, el asunto es relevante y trascedente porque implica determinar los alcances de una figura procesal, como es el interés jurídico y el impacto que </w:t>
      </w:r>
      <w:r w:rsidRPr="00D20CED">
        <w:rPr>
          <w:rFonts w:ascii="Arial" w:eastAsia="Times New Roman" w:hAnsi="Arial" w:cs="Arial"/>
          <w:sz w:val="24"/>
          <w:szCs w:val="24"/>
          <w:lang w:eastAsia="es-MX"/>
        </w:rPr>
        <w:lastRenderedPageBreak/>
        <w:t>esta puede tener en la operación de actos vinculados con el ejercicio de mecanismos de participación democrática directa.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El derecho a votar en las consultas populares es una genuina expresión de la soberanía popular, mediante la cual se confiere a los ciudadanos la posibilidad de incidir de manera directa en la definición de políticas públicas.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 xml:space="preserve">Al igual que un proceso electoral, el plebiscito es un mecanismo de participación democrática, ya que es una de las formas en que se expresa la voluntad ciudadana; por tanto, es importante definir si una persona física o moral tiene interés para impugnar su realización. </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Como se aprecia, la definición del interés jurídico de la empresa para impugnar no entraña el análisis de una cuestión meramente formal, sino que su definición pasa, necesariamente por el carácter que tienen las consultas y su vinculación con la participación del pueblo en la vida política del país.</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En el mismo sentido, es necesario que esta Sala Superior establezca lineamientos claros, aplicables no solo a esta entidad, sino que constituyan directrices interpretativas generales de lo que debe entenderse por trascendencia, como requisito sustancial para que procedencia de una consulta.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Este concepto es muy amplio, y tiene un fuerte contenido de carácter subjetivo, ya que, lo que puede ser importante o transcendente para una comunidad puede no serlo en otra.</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t>Por estas razones se estima que este caso sí reúne los requisitos de relevancia y trascendencia que esta Sala Superior ha desarrollado, para aquellos casos en los que no se surte algún tema de constitucionalidad en el recurso de reconsideración, pero es necesario al pronunciamiento por parte de esta Sala con la finalidad criterios que contribuyan a dar certeza y seguridad sobre temas novedosos como en este caso.</w:t>
      </w:r>
    </w:p>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r w:rsidRPr="00D20CED">
        <w:rPr>
          <w:rFonts w:ascii="Arial" w:eastAsia="Times New Roman" w:hAnsi="Arial" w:cs="Arial"/>
          <w:sz w:val="24"/>
          <w:szCs w:val="24"/>
          <w:lang w:eastAsia="es-MX"/>
        </w:rPr>
        <w:lastRenderedPageBreak/>
        <w:t>En conclusión, desde nuestra perspectiva en este caso la Sala Superior puede ejercer sus facultades para definir en su política judicial conocer este caso como un asunto relevante y trascendente que amerite un pronunciamiento</w:t>
      </w:r>
    </w:p>
    <w:tbl>
      <w:tblPr>
        <w:tblStyle w:val="Tablaconcuadrcula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2"/>
        <w:gridCol w:w="3675"/>
      </w:tblGrid>
      <w:tr w:rsidR="00D20CED" w:rsidRPr="00D20CED" w:rsidTr="00D20CED">
        <w:trPr>
          <w:jc w:val="center"/>
        </w:trPr>
        <w:tc>
          <w:tcPr>
            <w:tcW w:w="4312" w:type="dxa"/>
          </w:tcPr>
          <w:p w:rsidR="00D20CED" w:rsidRPr="00D20CED" w:rsidRDefault="00D20CED" w:rsidP="00D20CED">
            <w:pPr>
              <w:spacing w:before="240" w:after="240" w:line="360" w:lineRule="auto"/>
              <w:jc w:val="center"/>
              <w:rPr>
                <w:rFonts w:ascii="Arial" w:eastAsia="Calibri" w:hAnsi="Arial" w:cs="Arial"/>
                <w:b/>
                <w:sz w:val="24"/>
                <w:szCs w:val="28"/>
                <w:lang w:val="es-ES" w:eastAsia="es-MX"/>
              </w:rPr>
            </w:pPr>
            <w:r w:rsidRPr="00D20CED">
              <w:rPr>
                <w:rFonts w:ascii="Arial" w:eastAsia="Calibri" w:hAnsi="Arial" w:cs="Arial"/>
                <w:b/>
                <w:sz w:val="24"/>
                <w:szCs w:val="28"/>
                <w:lang w:val="es-ES" w:eastAsia="es-MX"/>
              </w:rPr>
              <w:t>MAGISTRADO</w:t>
            </w:r>
          </w:p>
          <w:p w:rsidR="00D20CED" w:rsidRPr="00D20CED" w:rsidRDefault="00D20CED" w:rsidP="00D20CED">
            <w:pPr>
              <w:spacing w:before="240" w:after="240" w:line="360" w:lineRule="auto"/>
              <w:rPr>
                <w:rFonts w:ascii="Arial" w:eastAsia="Calibri" w:hAnsi="Arial" w:cs="Arial"/>
                <w:sz w:val="24"/>
                <w:szCs w:val="28"/>
                <w:lang w:val="es-ES" w:eastAsia="es-MX"/>
              </w:rPr>
            </w:pPr>
          </w:p>
          <w:p w:rsidR="00D20CED" w:rsidRPr="00D20CED" w:rsidRDefault="00D20CED" w:rsidP="00D20CED">
            <w:pPr>
              <w:spacing w:before="240" w:after="240" w:line="360" w:lineRule="auto"/>
              <w:jc w:val="center"/>
              <w:rPr>
                <w:rFonts w:ascii="Arial" w:eastAsia="Calibri" w:hAnsi="Arial" w:cs="Arial"/>
                <w:b/>
                <w:sz w:val="24"/>
                <w:szCs w:val="28"/>
                <w:lang w:val="es-ES" w:eastAsia="es-MX"/>
              </w:rPr>
            </w:pPr>
            <w:r w:rsidRPr="00D20CED">
              <w:rPr>
                <w:rFonts w:ascii="Arial" w:eastAsia="Calibri" w:hAnsi="Arial" w:cs="Arial"/>
                <w:b/>
                <w:sz w:val="24"/>
                <w:szCs w:val="28"/>
                <w:lang w:val="es-ES" w:eastAsia="es-MX"/>
              </w:rPr>
              <w:t>INDALFER INFANTE GONZALES</w:t>
            </w:r>
          </w:p>
        </w:tc>
        <w:tc>
          <w:tcPr>
            <w:tcW w:w="3675" w:type="dxa"/>
          </w:tcPr>
          <w:p w:rsidR="00D20CED" w:rsidRPr="00D20CED" w:rsidRDefault="00D20CED" w:rsidP="00D20CED">
            <w:pPr>
              <w:spacing w:before="240" w:after="240" w:line="360" w:lineRule="auto"/>
              <w:jc w:val="center"/>
              <w:rPr>
                <w:rFonts w:ascii="Arial" w:eastAsia="Calibri" w:hAnsi="Arial" w:cs="Arial"/>
                <w:sz w:val="24"/>
                <w:szCs w:val="28"/>
                <w:lang w:val="es-ES" w:eastAsia="es-MX"/>
              </w:rPr>
            </w:pPr>
            <w:r w:rsidRPr="00D20CED">
              <w:rPr>
                <w:rFonts w:ascii="Arial" w:eastAsia="Calibri" w:hAnsi="Arial" w:cs="Arial"/>
                <w:b/>
                <w:sz w:val="24"/>
                <w:szCs w:val="28"/>
                <w:lang w:val="es-ES" w:eastAsia="es-MX"/>
              </w:rPr>
              <w:t>MAGISTRADO</w:t>
            </w:r>
          </w:p>
          <w:p w:rsidR="00D20CED" w:rsidRPr="00D20CED" w:rsidRDefault="00D20CED" w:rsidP="00D20CED">
            <w:pPr>
              <w:spacing w:before="240" w:after="240" w:line="360" w:lineRule="auto"/>
              <w:jc w:val="center"/>
              <w:rPr>
                <w:rFonts w:ascii="Arial" w:eastAsia="Calibri" w:hAnsi="Arial" w:cs="Arial"/>
                <w:sz w:val="24"/>
                <w:szCs w:val="28"/>
                <w:lang w:val="es-ES" w:eastAsia="es-MX"/>
              </w:rPr>
            </w:pPr>
          </w:p>
          <w:p w:rsidR="00D20CED" w:rsidRPr="00D20CED" w:rsidRDefault="00D20CED" w:rsidP="00D20CED">
            <w:pPr>
              <w:spacing w:before="240" w:after="240" w:line="360" w:lineRule="auto"/>
              <w:jc w:val="center"/>
              <w:rPr>
                <w:rFonts w:ascii="Arial" w:eastAsia="Calibri" w:hAnsi="Arial" w:cs="Arial"/>
                <w:b/>
                <w:sz w:val="24"/>
                <w:szCs w:val="28"/>
                <w:lang w:val="es-ES" w:eastAsia="es-MX"/>
              </w:rPr>
            </w:pPr>
            <w:r w:rsidRPr="00D20CED">
              <w:rPr>
                <w:rFonts w:ascii="Arial" w:eastAsia="Calibri" w:hAnsi="Arial" w:cs="Arial"/>
                <w:b/>
                <w:sz w:val="24"/>
                <w:szCs w:val="28"/>
                <w:lang w:val="es-ES" w:eastAsia="es-MX"/>
              </w:rPr>
              <w:t>REYES RODRÍGUEZ MONDRAGÓN</w:t>
            </w:r>
          </w:p>
        </w:tc>
      </w:tr>
    </w:tbl>
    <w:p w:rsidR="00D20CED" w:rsidRPr="00D20CED" w:rsidRDefault="00D20CED" w:rsidP="00D20CED">
      <w:pPr>
        <w:widowControl w:val="0"/>
        <w:spacing w:before="320" w:after="320" w:line="360" w:lineRule="auto"/>
        <w:jc w:val="both"/>
        <w:rPr>
          <w:rFonts w:ascii="Arial" w:eastAsia="Times New Roman" w:hAnsi="Arial" w:cs="Arial"/>
          <w:sz w:val="24"/>
          <w:szCs w:val="24"/>
          <w:lang w:eastAsia="es-MX"/>
        </w:rPr>
      </w:pPr>
    </w:p>
    <w:p w:rsidR="001B2B8C" w:rsidRDefault="001B2B8C"/>
    <w:sectPr w:rsidR="001B2B8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E21" w:rsidRDefault="00285E21" w:rsidP="00D20CED">
      <w:pPr>
        <w:spacing w:after="0" w:line="240" w:lineRule="auto"/>
      </w:pPr>
      <w:r>
        <w:separator/>
      </w:r>
    </w:p>
  </w:endnote>
  <w:endnote w:type="continuationSeparator" w:id="0">
    <w:p w:rsidR="00285E21" w:rsidRDefault="00285E21" w:rsidP="00D20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E21" w:rsidRDefault="00285E21" w:rsidP="00D20CED">
      <w:pPr>
        <w:spacing w:after="0" w:line="240" w:lineRule="auto"/>
      </w:pPr>
      <w:r>
        <w:separator/>
      </w:r>
    </w:p>
  </w:footnote>
  <w:footnote w:type="continuationSeparator" w:id="0">
    <w:p w:rsidR="00285E21" w:rsidRDefault="00285E21" w:rsidP="00D20CED">
      <w:pPr>
        <w:spacing w:after="0" w:line="240" w:lineRule="auto"/>
      </w:pPr>
      <w:r>
        <w:continuationSeparator/>
      </w:r>
    </w:p>
  </w:footnote>
  <w:footnote w:id="1">
    <w:p w:rsidR="00D20CED" w:rsidRDefault="00D20CED" w:rsidP="00D20CED">
      <w:pPr>
        <w:pStyle w:val="Textonotapie"/>
        <w:rPr>
          <w:rFonts w:eastAsia="Calibri" w:cs="Times New Roman"/>
        </w:rPr>
      </w:pPr>
      <w:r>
        <w:rPr>
          <w:rStyle w:val="Refdenotaalpie"/>
        </w:rPr>
        <w:footnoteRef/>
      </w:r>
      <w:r>
        <w:t xml:space="preserve"> </w:t>
      </w:r>
      <w:r>
        <w:rPr>
          <w:sz w:val="18"/>
        </w:rPr>
        <w:t>Colaboraron en la redacción de este voto Juan Guillermo Casillas Guevara y Rodrigo Escobar Garduño.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CED"/>
    <w:rsid w:val="001B2B8C"/>
    <w:rsid w:val="00285E21"/>
    <w:rsid w:val="00B40FE2"/>
    <w:rsid w:val="00BB23B5"/>
    <w:rsid w:val="00D20C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ABA05E-2028-4BBB-AA7C-940CCFC1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D20C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20CED"/>
    <w:rPr>
      <w:sz w:val="20"/>
      <w:szCs w:val="20"/>
    </w:rPr>
  </w:style>
  <w:style w:type="character" w:styleId="Refdenotaalpie">
    <w:name w:val="footnote reference"/>
    <w:aliases w:val="Footnotes refss,Texto de nota al pie,Appel note de bas de page,Footnote number,referencia nota al pie,BVI fnr,4_G,16 Point,Superscript 6 Point,Texto nota al pie,f,Ref. de nota al pie 2,Footnote Reference Char3,ftre"/>
    <w:link w:val="4GChar"/>
    <w:uiPriority w:val="99"/>
    <w:unhideWhenUsed/>
    <w:qFormat/>
    <w:rsid w:val="00D20CED"/>
    <w:rPr>
      <w:vertAlign w:val="superscript"/>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D20CED"/>
    <w:pPr>
      <w:spacing w:after="0" w:line="240" w:lineRule="auto"/>
      <w:jc w:val="both"/>
    </w:pPr>
    <w:rPr>
      <w:vertAlign w:val="superscript"/>
    </w:rPr>
  </w:style>
  <w:style w:type="table" w:customStyle="1" w:styleId="Tablaconcuadrcula1">
    <w:name w:val="Tabla con cuadrícula1"/>
    <w:basedOn w:val="Tablanormal"/>
    <w:rsid w:val="00D20C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84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o.te.gob.mx/adminsga/sga/querys2/serviceHTML?url=http://intranet.te.gob.mx/Informacion_jurisdiccional/sentencias_word/sword/Superior/REC/2018/SUP-REC-0214-2018.doc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1815</Words>
  <Characters>9988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Liverpool</dc:creator>
  <cp:lastModifiedBy>MARIA CONCEPCION CASTILLO RODRIGUEZ</cp:lastModifiedBy>
  <cp:revision>2</cp:revision>
  <dcterms:created xsi:type="dcterms:W3CDTF">2019-06-17T16:20:00Z</dcterms:created>
  <dcterms:modified xsi:type="dcterms:W3CDTF">2019-06-17T16:20:00Z</dcterms:modified>
</cp:coreProperties>
</file>